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sz w:val="32"/>
          <w:szCs w:val="32"/>
        </w:rPr>
        <w:t>ARSENAL Filmverleih präsentiert</w:t>
      </w:r>
    </w:p>
    <w:p>
      <w:pPr>
        <w:pStyle w:val="Normal"/>
        <w:jc w:val="center"/>
        <w:rPr/>
      </w:pPr>
      <w:r>
        <w:rPr/>
      </w:r>
    </w:p>
    <w:p>
      <w:pPr>
        <w:pStyle w:val="Normal"/>
        <w:jc w:val="center"/>
        <w:rPr/>
      </w:pPr>
      <w:r>
        <w:rPr/>
        <w:drawing>
          <wp:anchor behindDoc="0" distT="0" distB="0" distL="0" distR="0" simplePos="0" locked="0" layoutInCell="1" allowOverlap="1" relativeHeight="2">
            <wp:simplePos x="0" y="0"/>
            <wp:positionH relativeFrom="character">
              <wp:align>center</wp:align>
            </wp:positionH>
            <wp:positionV relativeFrom="line">
              <wp:posOffset>635</wp:posOffset>
            </wp:positionV>
            <wp:extent cx="2520950" cy="356108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2520950" cy="3561080"/>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sz w:val="44"/>
          <w:szCs w:val="44"/>
        </w:rPr>
      </w:pPr>
      <w:r>
        <w:rPr>
          <w:sz w:val="44"/>
          <w:szCs w:val="44"/>
        </w:rPr>
      </w:r>
    </w:p>
    <w:p>
      <w:pPr>
        <w:pStyle w:val="Normal"/>
        <w:jc w:val="center"/>
        <w:rPr>
          <w:sz w:val="44"/>
          <w:szCs w:val="44"/>
        </w:rPr>
      </w:pPr>
      <w:r>
        <w:rPr>
          <w:sz w:val="44"/>
          <w:szCs w:val="44"/>
        </w:rPr>
      </w:r>
    </w:p>
    <w:p>
      <w:pPr>
        <w:pStyle w:val="Normal"/>
        <w:jc w:val="center"/>
        <w:rPr>
          <w:sz w:val="44"/>
          <w:szCs w:val="44"/>
        </w:rPr>
      </w:pPr>
      <w:r>
        <w:rPr>
          <w:sz w:val="44"/>
          <w:szCs w:val="44"/>
        </w:rPr>
      </w:r>
    </w:p>
    <w:p>
      <w:pPr>
        <w:pStyle w:val="Normal"/>
        <w:jc w:val="center"/>
        <w:rPr/>
      </w:pPr>
      <w:r>
        <w:rPr>
          <w:sz w:val="44"/>
          <w:szCs w:val="44"/>
        </w:rPr>
        <w:t>WHITNEY – CAN I BE ME</w:t>
      </w:r>
    </w:p>
    <w:p>
      <w:pPr>
        <w:pStyle w:val="Normal"/>
        <w:jc w:val="center"/>
        <w:rPr/>
      </w:pPr>
      <w:r>
        <w:rPr/>
      </w:r>
    </w:p>
    <w:p>
      <w:pPr>
        <w:pStyle w:val="Normal"/>
        <w:jc w:val="center"/>
        <w:rPr/>
      </w:pPr>
      <w:r>
        <w:rPr>
          <w:sz w:val="32"/>
          <w:szCs w:val="32"/>
        </w:rPr>
        <w:t xml:space="preserve">von Nick BROOMFIELD und RUDI DOLEZAL, </w:t>
      </w:r>
      <w:r>
        <w:rPr>
          <w:rFonts w:cs="Times New Roman"/>
          <w:sz w:val="24"/>
          <w:szCs w:val="24"/>
          <w:lang w:val="de-DE"/>
        </w:rPr>
        <w:t>UK/USA 2017, 103 Min.</w:t>
      </w:r>
    </w:p>
    <w:p>
      <w:pPr>
        <w:pStyle w:val="Normal"/>
        <w:jc w:val="center"/>
        <w:rPr/>
      </w:pPr>
      <w:r>
        <w:rPr/>
      </w:r>
    </w:p>
    <w:p>
      <w:pPr>
        <w:pStyle w:val="Normal"/>
        <w:jc w:val="center"/>
        <w:rPr/>
      </w:pPr>
      <w:r>
        <w:rPr>
          <w:rFonts w:cs="Times New Roman" w:ascii="Liberation Sans" w:hAnsi="Liberation Sans"/>
          <w:b w:val="false"/>
          <w:bCs w:val="false"/>
          <w:sz w:val="28"/>
          <w:szCs w:val="28"/>
          <w:lang w:val="de-DE"/>
        </w:rPr>
        <w:t>mit</w:t>
      </w:r>
      <w:r>
        <w:rPr>
          <w:rFonts w:cs="Times New Roman" w:ascii="Liberation Sans" w:hAnsi="Liberation Sans"/>
          <w:b/>
          <w:sz w:val="28"/>
          <w:szCs w:val="28"/>
          <w:lang w:val="de-DE"/>
        </w:rPr>
        <w:t xml:space="preserve"> </w:t>
      </w:r>
      <w:r>
        <w:rPr>
          <w:rFonts w:ascii="Liberation Sans" w:hAnsi="Liberation Sans"/>
          <w:sz w:val="28"/>
          <w:szCs w:val="28"/>
        </w:rPr>
        <w:t>Whitney Houston, Robyn Crawford, Bobby Brown, Cissy Houston,</w:t>
      </w:r>
    </w:p>
    <w:p>
      <w:pPr>
        <w:pStyle w:val="Normal"/>
        <w:jc w:val="center"/>
        <w:rPr/>
      </w:pPr>
      <w:r>
        <w:rPr>
          <w:rFonts w:ascii="Liberation Sans" w:hAnsi="Liberation Sans"/>
          <w:sz w:val="28"/>
          <w:szCs w:val="28"/>
        </w:rPr>
        <w:t>John Russell Houston jr., Bobby Kristina Brown, David Roberts u.a.</w:t>
      </w:r>
    </w:p>
    <w:p>
      <w:pPr>
        <w:pStyle w:val="Normal"/>
        <w:jc w:val="center"/>
        <w:rPr/>
      </w:pPr>
      <w:r>
        <w:rPr/>
      </w:r>
    </w:p>
    <w:p>
      <w:pPr>
        <w:pStyle w:val="Normal"/>
        <w:jc w:val="center"/>
        <w:rPr/>
      </w:pPr>
      <w:r>
        <w:rPr/>
      </w:r>
    </w:p>
    <w:p>
      <w:pPr>
        <w:pStyle w:val="Normal"/>
        <w:jc w:val="center"/>
        <w:rPr/>
      </w:pPr>
      <w:r>
        <w:rPr/>
      </w:r>
    </w:p>
    <w:p>
      <w:pPr>
        <w:pStyle w:val="Normal"/>
        <w:jc w:val="center"/>
        <w:rPr/>
      </w:pPr>
      <w:r>
        <w:rPr>
          <w:rFonts w:cs="Times New Roman"/>
          <w:b/>
          <w:bCs/>
          <w:sz w:val="32"/>
          <w:szCs w:val="32"/>
          <w:lang w:val="de-DE"/>
        </w:rPr>
        <w:t>BUNDESSTART: 8. Juni 2017</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Berschrift4"/>
        <w:numPr>
          <w:ilvl w:val="3"/>
          <w:numId w:val="1"/>
        </w:numPr>
        <w:jc w:val="both"/>
        <w:rPr/>
      </w:pPr>
      <w:r>
        <w:rPr>
          <w:rFonts w:cs="Arial" w:ascii="Arial" w:hAnsi="Arial"/>
        </w:rPr>
        <w:t>VERLEIH</w:t>
        <w:tab/>
        <w:tab/>
        <w:tab/>
        <w:tab/>
        <w:tab/>
        <w:tab/>
        <w:t>PRESSE</w:t>
      </w:r>
    </w:p>
    <w:p>
      <w:pPr>
        <w:pStyle w:val="Normal"/>
        <w:jc w:val="both"/>
        <w:rPr/>
      </w:pPr>
      <w:r>
        <w:rPr/>
      </w:r>
    </w:p>
    <w:p>
      <w:pPr>
        <w:pStyle w:val="Normal"/>
        <w:jc w:val="both"/>
        <w:rPr/>
      </w:pPr>
      <w:r>
        <w:rPr>
          <w:rFonts w:cs="Arial" w:ascii="Arial" w:hAnsi="Arial"/>
        </w:rPr>
        <w:t>Arsenal Filmverleih GmbH</w:t>
        <w:tab/>
        <w:tab/>
        <w:tab/>
        <w:tab/>
        <w:t>boxfish films, Karen Rudolph</w:t>
        <w:tab/>
        <w:tab/>
      </w:r>
    </w:p>
    <w:p>
      <w:pPr>
        <w:pStyle w:val="Normal"/>
        <w:jc w:val="both"/>
        <w:rPr/>
      </w:pPr>
      <w:r>
        <w:rPr>
          <w:rFonts w:cs="Arial" w:ascii="Arial" w:hAnsi="Arial"/>
        </w:rPr>
        <w:t>Hintere Grabenstr. 20</w:t>
        <w:tab/>
        <w:tab/>
        <w:tab/>
        <w:tab/>
        <w:t>Raumerstr. 27</w:t>
        <w:tab/>
        <w:tab/>
        <w:tab/>
        <w:tab/>
      </w:r>
    </w:p>
    <w:p>
      <w:pPr>
        <w:pStyle w:val="Normal"/>
        <w:jc w:val="both"/>
        <w:rPr/>
      </w:pPr>
      <w:r>
        <w:rPr>
          <w:rFonts w:cs="Arial" w:ascii="Arial" w:hAnsi="Arial"/>
        </w:rPr>
        <w:t>72070 Tübingen</w:t>
        <w:tab/>
        <w:tab/>
        <w:tab/>
        <w:tab/>
        <w:tab/>
        <w:t>10437 Berlin</w:t>
      </w:r>
    </w:p>
    <w:p>
      <w:pPr>
        <w:pStyle w:val="Normal"/>
        <w:jc w:val="both"/>
        <w:rPr/>
      </w:pPr>
      <w:r>
        <w:rPr>
          <w:rFonts w:cs="Arial" w:ascii="Arial" w:hAnsi="Arial"/>
        </w:rPr>
        <w:t>Tel. 07071 – 9296 0</w:t>
        <w:tab/>
        <w:tab/>
        <w:tab/>
        <w:tab/>
        <w:tab/>
        <w:t>Tel. 030 – 44044 751</w:t>
      </w:r>
    </w:p>
    <w:p>
      <w:pPr>
        <w:pStyle w:val="Normal"/>
        <w:jc w:val="both"/>
        <w:rPr/>
      </w:pPr>
      <w:r>
        <w:rPr>
          <w:rFonts w:cs="Arial" w:ascii="Arial" w:hAnsi="Arial"/>
        </w:rPr>
        <w:t>Fax 07071 – 9296 11</w:t>
        <w:tab/>
        <w:tab/>
        <w:tab/>
        <w:tab/>
        <w:t>Fax 030 – 44044 691</w:t>
      </w:r>
    </w:p>
    <w:p>
      <w:pPr>
        <w:pStyle w:val="Normal"/>
        <w:jc w:val="both"/>
        <w:rPr/>
      </w:pPr>
      <w:r>
        <w:rPr>
          <w:rFonts w:cs="Arial" w:ascii="Arial" w:hAnsi="Arial"/>
        </w:rPr>
        <w:t>info@arsenalfilm.de</w:t>
        <w:tab/>
        <w:tab/>
        <w:tab/>
        <w:tab/>
        <w:tab/>
        <w:t>info@boxfish-films.de</w:t>
      </w:r>
    </w:p>
    <w:p>
      <w:pPr>
        <w:pStyle w:val="Normal"/>
        <w:jc w:val="both"/>
        <w:rPr/>
      </w:pPr>
      <w:r>
        <w:rPr>
          <w:rFonts w:cs="Arial" w:ascii="Arial" w:hAnsi="Arial"/>
        </w:rPr>
        <w:t>www.arsenalfilm.de</w:t>
        <w:tab/>
        <w:tab/>
        <w:tab/>
        <w:tab/>
        <w:tab/>
      </w:r>
      <w:r>
        <w:rPr>
          <w:rFonts w:cs="Arial" w:ascii="Arial" w:hAnsi="Arial"/>
          <w:lang w:val="fr-FR"/>
        </w:rPr>
        <w:t>www.boxfish-films.de</w:t>
      </w:r>
    </w:p>
    <w:p>
      <w:pPr>
        <w:pStyle w:val="Normal"/>
        <w:spacing w:lineRule="auto" w:line="360"/>
        <w:jc w:val="both"/>
        <w:rPr>
          <w:rFonts w:ascii="Liberation Sans" w:hAnsi="Liberation Sans" w:cs="Times New Roman"/>
          <w:b/>
          <w:b/>
          <w:bCs/>
          <w:color w:val="000000"/>
          <w:sz w:val="30"/>
          <w:szCs w:val="30"/>
          <w:lang w:val="de-DE"/>
        </w:rPr>
      </w:pPr>
      <w:r>
        <w:rPr>
          <w:rFonts w:cs="Times New Roman" w:ascii="Liberation Sans" w:hAnsi="Liberation Sans"/>
          <w:b/>
          <w:bCs/>
          <w:color w:val="000000"/>
          <w:sz w:val="30"/>
          <w:szCs w:val="30"/>
          <w:lang w:val="de-DE"/>
        </w:rPr>
      </w:r>
      <w:r>
        <w:br w:type="page"/>
      </w:r>
    </w:p>
    <w:p>
      <w:pPr>
        <w:pStyle w:val="Normal"/>
        <w:spacing w:lineRule="auto" w:line="360"/>
        <w:jc w:val="both"/>
        <w:rPr/>
      </w:pPr>
      <w:r>
        <w:rPr>
          <w:rFonts w:cs="Times New Roman" w:ascii="Liberation Sans" w:hAnsi="Liberation Sans"/>
          <w:b/>
          <w:bCs/>
          <w:color w:val="000000"/>
          <w:sz w:val="30"/>
          <w:szCs w:val="30"/>
          <w:lang w:val="de-DE"/>
        </w:rPr>
        <w:t>STAB</w:t>
      </w:r>
    </w:p>
    <w:p>
      <w:pPr>
        <w:pStyle w:val="Normal"/>
        <w:spacing w:lineRule="auto" w:line="360"/>
        <w:jc w:val="both"/>
        <w:rPr/>
      </w:pPr>
      <w:r>
        <w:rPr/>
      </w:r>
    </w:p>
    <w:p>
      <w:pPr>
        <w:pStyle w:val="Normal"/>
        <w:spacing w:lineRule="auto" w:line="360"/>
        <w:jc w:val="both"/>
        <w:rPr/>
      </w:pPr>
      <w:r>
        <w:rPr>
          <w:rFonts w:cs="Times New Roman" w:ascii="Liberation Sans" w:hAnsi="Liberation Sans"/>
          <w:color w:val="000000"/>
          <w:sz w:val="24"/>
          <w:szCs w:val="24"/>
          <w:lang w:val="de-DE"/>
        </w:rPr>
        <w:t>Regie</w:t>
        <w:tab/>
        <w:tab/>
        <w:tab/>
        <w:tab/>
        <w:tab/>
        <w:t>Nick Broomfield, Rudi Dolezal</w:t>
      </w:r>
    </w:p>
    <w:p>
      <w:pPr>
        <w:pStyle w:val="Normal"/>
        <w:spacing w:lineRule="auto" w:line="360"/>
        <w:jc w:val="both"/>
        <w:rPr/>
      </w:pPr>
      <w:r>
        <w:rPr/>
      </w:r>
    </w:p>
    <w:p>
      <w:pPr>
        <w:pStyle w:val="Normal"/>
        <w:spacing w:lineRule="auto" w:line="360"/>
        <w:jc w:val="both"/>
        <w:rPr/>
      </w:pPr>
      <w:r>
        <w:rPr>
          <w:rFonts w:cs="Times New Roman" w:ascii="Liberation Sans" w:hAnsi="Liberation Sans"/>
          <w:color w:val="000000"/>
          <w:sz w:val="24"/>
          <w:szCs w:val="24"/>
          <w:lang w:val="de-DE"/>
        </w:rPr>
        <w:t>Drehbuch</w:t>
        <w:tab/>
        <w:tab/>
        <w:tab/>
        <w:tab/>
        <w:t>Nick Broomfield</w:t>
      </w:r>
    </w:p>
    <w:p>
      <w:pPr>
        <w:pStyle w:val="Normal"/>
        <w:spacing w:lineRule="auto" w:line="360"/>
        <w:jc w:val="both"/>
        <w:rPr/>
      </w:pPr>
      <w:r>
        <w:rPr/>
      </w:r>
    </w:p>
    <w:p>
      <w:pPr>
        <w:pStyle w:val="Normal"/>
        <w:spacing w:lineRule="auto" w:line="360"/>
        <w:jc w:val="both"/>
        <w:rPr/>
      </w:pPr>
      <w:r>
        <w:rPr>
          <w:rFonts w:cs="Times New Roman" w:ascii="Liberation Sans" w:hAnsi="Liberation Sans"/>
          <w:color w:val="000000"/>
          <w:sz w:val="24"/>
          <w:szCs w:val="24"/>
          <w:lang w:val="de-DE"/>
        </w:rPr>
        <w:t>Kamera</w:t>
        <w:tab/>
        <w:tab/>
        <w:tab/>
        <w:tab/>
        <w:t>Sam Mitchell</w:t>
      </w:r>
    </w:p>
    <w:p>
      <w:pPr>
        <w:pStyle w:val="Normal"/>
        <w:spacing w:lineRule="auto" w:line="360"/>
        <w:jc w:val="both"/>
        <w:rPr/>
      </w:pPr>
      <w:r>
        <w:rPr/>
      </w:r>
    </w:p>
    <w:p>
      <w:pPr>
        <w:pStyle w:val="Normal"/>
        <w:spacing w:lineRule="auto" w:line="360"/>
        <w:jc w:val="both"/>
        <w:rPr/>
      </w:pPr>
      <w:r>
        <w:rPr>
          <w:rFonts w:cs="Times New Roman" w:ascii="Liberation Sans" w:hAnsi="Liberation Sans"/>
          <w:color w:val="000000"/>
          <w:sz w:val="24"/>
          <w:szCs w:val="24"/>
          <w:lang w:val="de-DE"/>
        </w:rPr>
        <w:t>Schnitt</w:t>
        <w:tab/>
        <w:tab/>
        <w:tab/>
        <w:tab/>
        <w:t>Marc Hoeferlin</w:t>
      </w:r>
    </w:p>
    <w:p>
      <w:pPr>
        <w:pStyle w:val="Normal"/>
        <w:spacing w:lineRule="auto" w:line="360"/>
        <w:jc w:val="both"/>
        <w:rPr/>
      </w:pPr>
      <w:r>
        <w:rPr/>
      </w:r>
    </w:p>
    <w:p>
      <w:pPr>
        <w:pStyle w:val="Normal"/>
        <w:spacing w:lineRule="auto" w:line="360"/>
        <w:jc w:val="both"/>
        <w:rPr/>
      </w:pPr>
      <w:r>
        <w:rPr>
          <w:rFonts w:cs="Times New Roman" w:ascii="Liberation Sans" w:hAnsi="Liberation Sans"/>
          <w:color w:val="000000"/>
          <w:sz w:val="24"/>
          <w:szCs w:val="24"/>
          <w:lang w:val="de-DE"/>
        </w:rPr>
        <w:t>Musik</w:t>
        <w:tab/>
        <w:tab/>
        <w:tab/>
        <w:tab/>
        <w:tab/>
        <w:t>Nick Laird-Clowes</w:t>
      </w:r>
    </w:p>
    <w:p>
      <w:pPr>
        <w:pStyle w:val="Normal"/>
        <w:spacing w:lineRule="auto" w:line="360"/>
        <w:jc w:val="both"/>
        <w:rPr/>
      </w:pPr>
      <w:r>
        <w:rPr>
          <w:rFonts w:cs="Times New Roman" w:ascii="Liberation Sans" w:hAnsi="Liberation Sans"/>
          <w:color w:val="000000"/>
          <w:sz w:val="24"/>
          <w:szCs w:val="24"/>
          <w:lang w:val="de-DE"/>
        </w:rPr>
        <w:tab/>
        <w:tab/>
      </w:r>
    </w:p>
    <w:p>
      <w:pPr>
        <w:pStyle w:val="Normal"/>
        <w:spacing w:lineRule="auto" w:line="360"/>
        <w:jc w:val="left"/>
        <w:rPr/>
      </w:pPr>
      <w:r>
        <w:rPr>
          <w:rFonts w:ascii="Liberation Sans" w:hAnsi="Liberation Sans"/>
          <w:color w:val="000000"/>
          <w:sz w:val="24"/>
          <w:szCs w:val="24"/>
        </w:rPr>
        <w:t>Ausführende Produzenten</w:t>
        <w:tab/>
        <w:tab/>
        <w:t xml:space="preserve">John Battsek, Vinnie Malhotra, Patrick Holland, Kate </w:t>
        <w:tab/>
        <w:tab/>
        <w:tab/>
        <w:tab/>
        <w:tab/>
        <w:tab/>
        <w:t>Townsend, Charles Finch, Shani Hinton, Ben Silverman</w:t>
      </w:r>
    </w:p>
    <w:p>
      <w:pPr>
        <w:pStyle w:val="Normal"/>
        <w:spacing w:lineRule="auto" w:line="360"/>
        <w:jc w:val="left"/>
        <w:rPr/>
      </w:pPr>
      <w:r>
        <w:rPr/>
      </w:r>
    </w:p>
    <w:p>
      <w:pPr>
        <w:pStyle w:val="Normal"/>
        <w:spacing w:lineRule="auto" w:line="360"/>
        <w:jc w:val="left"/>
        <w:rPr/>
      </w:pPr>
      <w:r>
        <w:rPr>
          <w:rFonts w:ascii="Liberation Sans" w:hAnsi="Liberation Sans"/>
          <w:color w:val="000000"/>
          <w:sz w:val="24"/>
          <w:szCs w:val="24"/>
        </w:rPr>
        <w:t>Produzenten</w:t>
        <w:tab/>
        <w:tab/>
        <w:tab/>
        <w:tab/>
        <w:t>Nick Broomfield, Marc Hoeferlin</w:t>
        <w:tab/>
        <w:tab/>
      </w:r>
    </w:p>
    <w:p>
      <w:pPr>
        <w:pStyle w:val="Normal"/>
        <w:spacing w:lineRule="auto" w:line="360"/>
        <w:jc w:val="both"/>
        <w:rPr/>
      </w:pPr>
      <w:r>
        <w:rPr/>
      </w:r>
    </w:p>
    <w:p>
      <w:pPr>
        <w:pStyle w:val="Normal"/>
        <w:spacing w:lineRule="auto" w:line="360"/>
        <w:jc w:val="both"/>
        <w:rPr/>
      </w:pPr>
      <w:r>
        <w:rPr>
          <w:rFonts w:cs="Arial" w:ascii="Liberation Sans" w:hAnsi="Liberation Sans"/>
          <w:color w:val="000000"/>
          <w:sz w:val="24"/>
          <w:szCs w:val="24"/>
        </w:rPr>
        <w:t xml:space="preserve">Weltpremiere </w:t>
        <w:tab/>
        <w:tab/>
        <w:tab/>
        <w:t>Tribeca Filmfest</w:t>
      </w:r>
    </w:p>
    <w:p>
      <w:pPr>
        <w:pStyle w:val="Normal"/>
        <w:spacing w:lineRule="auto" w:line="360"/>
        <w:jc w:val="both"/>
        <w:rPr/>
      </w:pPr>
      <w:r>
        <w:rPr/>
      </w:r>
    </w:p>
    <w:p>
      <w:pPr>
        <w:pStyle w:val="Textkrper"/>
        <w:spacing w:before="0" w:after="0"/>
        <w:rPr/>
      </w:pPr>
      <w:r>
        <w:rPr>
          <w:rFonts w:eastAsia="SimSun" w:cs="Mangal" w:ascii="Liberation Sans" w:hAnsi="Liberation Sans"/>
          <w:color w:val="000000"/>
          <w:sz w:val="24"/>
          <w:szCs w:val="24"/>
          <w:lang w:val="de-DE" w:eastAsia="zh-CN" w:bidi="hi-IN"/>
        </w:rPr>
        <w:t>TAGLINE</w:t>
      </w:r>
    </w:p>
    <w:p>
      <w:pPr>
        <w:pStyle w:val="Textkrper"/>
        <w:spacing w:before="0" w:after="0"/>
        <w:rPr/>
      </w:pPr>
      <w:r>
        <w:rPr/>
      </w:r>
    </w:p>
    <w:p>
      <w:pPr>
        <w:pStyle w:val="Textkrper"/>
        <w:spacing w:before="0" w:after="0"/>
        <w:rPr/>
      </w:pPr>
      <w:r>
        <w:rPr>
          <w:rFonts w:eastAsia="SimSun" w:cs="Mangal" w:ascii="Liberation Sans" w:hAnsi="Liberation Sans"/>
          <w:color w:val="000000"/>
          <w:sz w:val="24"/>
          <w:szCs w:val="24"/>
          <w:lang w:val="de-DE" w:eastAsia="zh-CN" w:bidi="hi-IN"/>
        </w:rPr>
        <w:t>Fünf Jahre nach Whitney Houstons tragischem Tod enthüllt der Dokumentarfilm WHITNEY – CAN I BE ME die wahren Hintergründe über den Absturz einer der größten Sängerinnen aller Zeiten.</w:t>
      </w:r>
    </w:p>
    <w:p>
      <w:pPr>
        <w:pStyle w:val="Textkrper"/>
        <w:spacing w:before="0" w:after="0"/>
        <w:rPr/>
      </w:pPr>
      <w:r>
        <w:rPr/>
      </w:r>
    </w:p>
    <w:p>
      <w:pPr>
        <w:pStyle w:val="Normal"/>
        <w:jc w:val="both"/>
        <w:rPr/>
      </w:pPr>
      <w:r>
        <w:rPr>
          <w:rFonts w:eastAsia="SimSun" w:cs="Mangal" w:ascii="Liberation Sans" w:hAnsi="Liberation Sans"/>
          <w:color w:val="000000"/>
          <w:sz w:val="24"/>
          <w:szCs w:val="24"/>
          <w:lang w:val="de-DE" w:eastAsia="zh-CN" w:bidi="hi-IN"/>
        </w:rPr>
        <w:t>SYNOPSIS</w:t>
      </w:r>
    </w:p>
    <w:p>
      <w:pPr>
        <w:pStyle w:val="Normal"/>
        <w:jc w:val="both"/>
        <w:rPr/>
      </w:pPr>
      <w:r>
        <w:rPr/>
      </w:r>
    </w:p>
    <w:p>
      <w:pPr>
        <w:pStyle w:val="VorformatierterText"/>
        <w:spacing w:lineRule="auto" w:line="276"/>
        <w:jc w:val="left"/>
        <w:rPr/>
      </w:pPr>
      <w:r>
        <w:rPr>
          <w:rFonts w:eastAsia="SimSun" w:cs="Mangal" w:ascii="Liberation Sans" w:hAnsi="Liberation Sans"/>
          <w:color w:val="000000"/>
          <w:sz w:val="24"/>
          <w:szCs w:val="24"/>
          <w:lang w:val="de-DE" w:eastAsia="zh-CN" w:bidi="hi-IN"/>
        </w:rPr>
        <w:t>Von den renommierten Regisseuren Nick Broomfield ("Kurt &amp; Courtney") und Rudi Dolezal ("Freddie Mercury") kommt ein neuer Film über eine der größten Sängerinnen aller Zeiten. Whitney Houston war der Inbegriff eines Superstars, eine "American Princess", die am häufigsten ausgezeichnete Künstlerin aller Zeiten.</w:t>
      </w:r>
    </w:p>
    <w:p>
      <w:pPr>
        <w:pStyle w:val="VorformatierterText"/>
        <w:spacing w:lineRule="auto" w:line="276"/>
        <w:jc w:val="left"/>
        <w:rPr/>
      </w:pPr>
      <w:r>
        <w:rPr/>
      </w:r>
    </w:p>
    <w:p>
      <w:pPr>
        <w:pStyle w:val="VorformatierterText"/>
        <w:spacing w:lineRule="auto" w:line="276"/>
        <w:jc w:val="left"/>
        <w:rPr/>
      </w:pPr>
      <w:r>
        <w:rPr>
          <w:rFonts w:eastAsia="SimSun" w:cs="Mangal" w:ascii="Liberation Sans" w:hAnsi="Liberation Sans"/>
          <w:color w:val="000000"/>
          <w:sz w:val="24"/>
          <w:szCs w:val="24"/>
          <w:lang w:val="de-DE" w:eastAsia="zh-CN" w:bidi="hi-IN"/>
        </w:rPr>
        <w:t>Trotz verdienter Millionen, mehr aufeinanderfolgenden Nr.1-Hits als die Beatles und einer der größten Stimmen aller Zeiten konnte sie nie einfach sie selbst sein. Sie starb an einer Überdosis Drogen und wurde nur 48 Jahre alt.</w:t>
      </w:r>
    </w:p>
    <w:p>
      <w:pPr>
        <w:pStyle w:val="VorformatierterText"/>
        <w:spacing w:lineRule="auto" w:line="276"/>
        <w:jc w:val="left"/>
        <w:rPr/>
      </w:pPr>
      <w:r>
        <w:rPr/>
      </w:r>
    </w:p>
    <w:p>
      <w:pPr>
        <w:pStyle w:val="VorformatierterText"/>
        <w:spacing w:lineRule="auto" w:line="276" w:before="0" w:after="283"/>
        <w:jc w:val="left"/>
        <w:rPr/>
      </w:pPr>
      <w:r>
        <w:rPr>
          <w:rFonts w:eastAsia="SimSun" w:cs="Mangal" w:ascii="Liberation Sans" w:hAnsi="Liberation Sans"/>
          <w:color w:val="000000"/>
          <w:sz w:val="24"/>
          <w:szCs w:val="24"/>
          <w:lang w:val="de-DE" w:eastAsia="zh-CN" w:bidi="hi-IN"/>
        </w:rPr>
        <w:t>Zusammengestellt aus zumeist noch nie gesehenen Bildern und exklusiven Aufnahmen erzählt WHITNEY – CAN I BE ME Whitney Houstons unglaubliche und ergreifende Lebensgeschichte aus der Sicht derer, die ihr am nächsten standen.</w:t>
      </w:r>
    </w:p>
    <w:p>
      <w:pPr>
        <w:pStyle w:val="Normal"/>
        <w:numPr>
          <w:ilvl w:val="0"/>
          <w:numId w:val="1"/>
        </w:numPr>
        <w:spacing w:lineRule="auto" w:line="276"/>
        <w:ind w:left="432" w:right="0" w:hanging="432"/>
        <w:jc w:val="left"/>
        <w:rPr/>
      </w:pPr>
      <w:r>
        <w:rPr/>
        <w:drawing>
          <wp:anchor behindDoc="0" distT="0" distB="0" distL="0" distR="0" simplePos="0" locked="0" layoutInCell="1" allowOverlap="1" relativeHeight="3">
            <wp:simplePos x="0" y="0"/>
            <wp:positionH relativeFrom="character">
              <wp:posOffset>618490</wp:posOffset>
            </wp:positionH>
            <wp:positionV relativeFrom="line">
              <wp:posOffset>-20955</wp:posOffset>
            </wp:positionV>
            <wp:extent cx="4731385" cy="266128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4731385" cy="2661285"/>
                    </a:xfrm>
                    <a:prstGeom prst="rect">
                      <a:avLst/>
                    </a:prstGeom>
                    <a:noFill/>
                    <a:ln w="9525">
                      <a:noFill/>
                      <a:miter lim="800000"/>
                      <a:headEnd/>
                      <a:tailEnd/>
                    </a:ln>
                  </pic:spPr>
                </pic:pic>
              </a:graphicData>
            </a:graphic>
          </wp:anchor>
        </w:drawing>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pPr>
      <w:r>
        <w:rPr/>
      </w:r>
    </w:p>
    <w:p>
      <w:pPr>
        <w:pStyle w:val="Normal"/>
        <w:numPr>
          <w:ilvl w:val="0"/>
          <w:numId w:val="1"/>
        </w:numPr>
        <w:spacing w:lineRule="auto" w:line="276"/>
        <w:ind w:left="432" w:right="0" w:hanging="432"/>
        <w:jc w:val="left"/>
        <w:rPr>
          <w:b w:val="false"/>
          <w:b w:val="false"/>
          <w:bCs w:val="false"/>
          <w:sz w:val="24"/>
          <w:szCs w:val="24"/>
        </w:rPr>
      </w:pPr>
      <w:r>
        <w:rPr>
          <w:rFonts w:eastAsia="SimSun" w:cs="Mangal" w:ascii="Liberation Sans" w:hAnsi="Liberation Sans"/>
          <w:b w:val="false"/>
          <w:bCs w:val="false"/>
          <w:i w:val="false"/>
          <w:iCs w:val="false"/>
          <w:color w:val="000000"/>
          <w:sz w:val="24"/>
          <w:szCs w:val="24"/>
          <w:lang w:val="de-DE" w:eastAsia="zh-CN" w:bidi="hi-IN"/>
        </w:rPr>
        <w:t>PRESSE</w:t>
      </w:r>
    </w:p>
    <w:p>
      <w:pPr>
        <w:pStyle w:val="Normal"/>
        <w:numPr>
          <w:ilvl w:val="0"/>
          <w:numId w:val="1"/>
        </w:numPr>
        <w:spacing w:lineRule="auto" w:line="276"/>
        <w:ind w:left="432" w:right="0" w:hanging="432"/>
        <w:jc w:val="left"/>
        <w:rPr>
          <w:sz w:val="18"/>
          <w:szCs w:val="18"/>
        </w:rPr>
      </w:pPr>
      <w:r>
        <w:rPr>
          <w:sz w:val="18"/>
          <w:szCs w:val="18"/>
        </w:rPr>
      </w:r>
    </w:p>
    <w:p>
      <w:pPr>
        <w:pStyle w:val="Normal"/>
        <w:numPr>
          <w:ilvl w:val="0"/>
          <w:numId w:val="1"/>
        </w:numPr>
        <w:spacing w:lineRule="auto" w:line="276"/>
        <w:ind w:left="432" w:right="0" w:hanging="0"/>
        <w:jc w:val="left"/>
        <w:rPr/>
      </w:pPr>
      <w:r>
        <w:rPr>
          <w:rFonts w:eastAsia="SimSun" w:cs="Mangal" w:ascii="Liberation Sans" w:hAnsi="Liberation Sans"/>
          <w:b w:val="false"/>
          <w:bCs w:val="false"/>
          <w:i/>
          <w:iCs/>
          <w:color w:val="000000"/>
          <w:sz w:val="24"/>
          <w:szCs w:val="24"/>
          <w:lang w:val="de-DE" w:eastAsia="zh-CN" w:bidi="hi-IN"/>
        </w:rPr>
        <w:t>"Um den frühen Tod des Popstars Whitney Houstons ranken sich bis heute Gerüchte. Jetzt enthüllt ein Dokumentarfilm die privaten Hintergründe ihres Absturzes in Einsamkeit und Drogen – und ihre Liebe zu einer Frau.</w:t>
      </w:r>
    </w:p>
    <w:p>
      <w:pPr>
        <w:pStyle w:val="Normal"/>
        <w:numPr>
          <w:ilvl w:val="0"/>
          <w:numId w:val="1"/>
        </w:numPr>
        <w:spacing w:lineRule="auto" w:line="276"/>
        <w:ind w:left="432" w:right="0" w:hanging="0"/>
        <w:jc w:val="left"/>
        <w:rPr/>
      </w:pPr>
      <w:r>
        <w:rPr/>
      </w:r>
    </w:p>
    <w:p>
      <w:pPr>
        <w:pStyle w:val="Normal"/>
        <w:numPr>
          <w:ilvl w:val="0"/>
          <w:numId w:val="1"/>
        </w:numPr>
        <w:spacing w:lineRule="auto" w:line="276"/>
        <w:ind w:left="432" w:right="0" w:hanging="0"/>
        <w:jc w:val="left"/>
        <w:rPr/>
      </w:pPr>
      <w:r>
        <w:rPr>
          <w:rFonts w:eastAsia="SimSun" w:cs="Mangal" w:ascii="Liberation Sans" w:hAnsi="Liberation Sans"/>
          <w:b w:val="false"/>
          <w:bCs w:val="false"/>
          <w:i/>
          <w:iCs/>
          <w:color w:val="000000"/>
          <w:sz w:val="24"/>
          <w:szCs w:val="24"/>
          <w:lang w:val="de-DE" w:eastAsia="zh-CN" w:bidi="hi-IN"/>
        </w:rPr>
        <w:t>Mit ihrer beispiellosen Sti</w:t>
      </w:r>
      <w:r>
        <w:rPr>
          <w:rFonts w:eastAsia="SimSun" w:cs="Mangal" w:ascii="Liberation Sans" w:hAnsi="Liberation Sans"/>
          <w:i/>
          <w:iCs/>
          <w:color w:val="000000"/>
          <w:sz w:val="24"/>
          <w:szCs w:val="24"/>
          <w:lang w:val="de-DE" w:eastAsia="zh-CN" w:bidi="hi-IN"/>
        </w:rPr>
        <w:t>mme war Houston einer der bekanntesten Popstars der Welt. Ihr Talent wurde zuletzt überschattet von privaten Turbulenzen. Was sich dabei wirklich hinter den Kulissen abspielte, wenn sie mit sich und ihren Dämonen allein war, enthüllt WHITNEY – CAN I BE ME zum ersten Mal.</w:t>
      </w:r>
    </w:p>
    <w:p>
      <w:pPr>
        <w:pStyle w:val="Normal"/>
        <w:numPr>
          <w:ilvl w:val="0"/>
          <w:numId w:val="1"/>
        </w:numPr>
        <w:spacing w:lineRule="auto" w:line="276"/>
        <w:ind w:left="432" w:right="0" w:hanging="0"/>
        <w:jc w:val="left"/>
        <w:rPr/>
      </w:pPr>
      <w:r>
        <w:rPr/>
      </w:r>
    </w:p>
    <w:p>
      <w:pPr>
        <w:pStyle w:val="Normal"/>
        <w:numPr>
          <w:ilvl w:val="0"/>
          <w:numId w:val="1"/>
        </w:numPr>
        <w:spacing w:lineRule="auto" w:line="276"/>
        <w:ind w:left="432" w:right="0" w:hanging="0"/>
        <w:jc w:val="left"/>
        <w:rPr/>
      </w:pPr>
      <w:r>
        <w:rPr>
          <w:rFonts w:eastAsia="SimSun" w:cs="Mangal" w:ascii="Liberation Sans" w:hAnsi="Liberation Sans"/>
          <w:i/>
          <w:iCs/>
          <w:color w:val="000000"/>
          <w:sz w:val="24"/>
          <w:szCs w:val="24"/>
          <w:lang w:val="de-DE" w:eastAsia="zh-CN" w:bidi="hi-IN"/>
        </w:rPr>
        <w:t>Filmemacher Nick Broomfield und der österreichische Musikvideo-Regisseur Rudi Dolezal porträtieren Houston als Opfer einer unbarmherzigen Branche – und einer Gesellschaft, deren Klippen auch eine Ikone wie sie am Ende nicht umschiffen konnte: Reichtum, Armut, Liebe, Hass, Einsamkeit, Rassismus – und Homophobie."</w:t>
        <w:tab/>
        <w:tab/>
      </w:r>
      <w:r>
        <w:rPr>
          <w:rFonts w:eastAsia="SimSun" w:cs="Mangal" w:ascii="Liberation Sans" w:hAnsi="Liberation Sans"/>
          <w:color w:val="000000"/>
          <w:sz w:val="24"/>
          <w:szCs w:val="24"/>
          <w:lang w:val="de-DE" w:eastAsia="zh-CN" w:bidi="hi-IN"/>
        </w:rPr>
        <w:t>Spiegel-Online</w:t>
      </w:r>
    </w:p>
    <w:p>
      <w:pPr>
        <w:pStyle w:val="Textkrper"/>
        <w:numPr>
          <w:ilvl w:val="0"/>
          <w:numId w:val="1"/>
        </w:numPr>
        <w:spacing w:lineRule="auto" w:line="276"/>
        <w:ind w:left="432" w:right="0" w:hanging="0"/>
        <w:jc w:val="left"/>
        <w:rPr/>
      </w:pPr>
      <w:r>
        <w:rPr/>
      </w:r>
    </w:p>
    <w:p>
      <w:pPr>
        <w:pStyle w:val="Textkrper"/>
        <w:numPr>
          <w:ilvl w:val="0"/>
          <w:numId w:val="1"/>
        </w:numPr>
        <w:spacing w:lineRule="auto" w:line="276"/>
        <w:ind w:left="432" w:right="0" w:hanging="0"/>
        <w:jc w:val="left"/>
        <w:rPr/>
      </w:pPr>
      <w:r>
        <w:rPr>
          <w:rFonts w:eastAsia="SimSun" w:cs="Mangal" w:ascii="Liberation Sans" w:hAnsi="Liberation Sans"/>
          <w:i/>
          <w:iCs/>
          <w:color w:val="000000"/>
          <w:sz w:val="24"/>
          <w:szCs w:val="24"/>
          <w:lang w:val="de-DE" w:eastAsia="zh-CN" w:bidi="hi-IN"/>
        </w:rPr>
        <w:t xml:space="preserve">"Die Andeutung von Whitney Houstons Bisexualität ist die größte Enthüllung dieser Dokumentation. </w:t>
      </w:r>
    </w:p>
    <w:p>
      <w:pPr>
        <w:pStyle w:val="Textkrper"/>
        <w:numPr>
          <w:ilvl w:val="0"/>
          <w:numId w:val="1"/>
        </w:numPr>
        <w:spacing w:lineRule="auto" w:line="276"/>
        <w:ind w:left="432" w:right="0" w:hanging="0"/>
        <w:jc w:val="left"/>
        <w:rPr/>
      </w:pPr>
      <w:r>
        <w:rPr>
          <w:rFonts w:eastAsia="SimSun" w:cs="Mangal" w:ascii="Liberation Sans" w:hAnsi="Liberation Sans"/>
          <w:i/>
          <w:iCs/>
          <w:color w:val="000000"/>
          <w:sz w:val="24"/>
          <w:szCs w:val="24"/>
          <w:lang w:val="de-DE" w:eastAsia="zh-CN" w:bidi="hi-IN"/>
        </w:rPr>
        <w:t xml:space="preserve"> </w:t>
      </w:r>
      <w:r>
        <w:rPr>
          <w:rFonts w:eastAsia="SimSun" w:cs="Mangal" w:ascii="Liberation Sans" w:hAnsi="Liberation Sans"/>
          <w:i/>
          <w:iCs/>
          <w:color w:val="000000"/>
          <w:sz w:val="24"/>
          <w:szCs w:val="24"/>
          <w:lang w:val="de-DE" w:eastAsia="zh-CN" w:bidi="hi-IN"/>
        </w:rPr>
        <w:t>Der von Whitney Houstons Erben nicht genehmigte Dokumentarfilm zeigt, dass die Familie nichts gegen ihre Drogensucht unternahm und bringt ihren Absturz in Verbindung mit ihrer Beziehung zu Robyn Crawford.</w:t>
      </w:r>
    </w:p>
    <w:p>
      <w:pPr>
        <w:pStyle w:val="Normal"/>
        <w:spacing w:lineRule="auto" w:line="276"/>
        <w:jc w:val="both"/>
        <w:rPr/>
      </w:pPr>
      <w:r>
        <w:rPr>
          <w:rFonts w:eastAsia="SimSun" w:cs="Mangal" w:ascii="Liberation Sans" w:hAnsi="Liberation Sans"/>
          <w:i/>
          <w:iCs/>
          <w:color w:val="000000"/>
          <w:sz w:val="24"/>
          <w:szCs w:val="24"/>
          <w:lang w:val="de-DE" w:eastAsia="zh-CN" w:bidi="hi-IN"/>
        </w:rPr>
        <w:t xml:space="preserve">… </w:t>
      </w:r>
      <w:r>
        <w:rPr>
          <w:rFonts w:eastAsia="SimSun" w:cs="Mangal" w:ascii="Liberation Sans" w:hAnsi="Liberation Sans"/>
          <w:i/>
          <w:iCs/>
          <w:color w:val="000000"/>
          <w:sz w:val="24"/>
          <w:szCs w:val="24"/>
          <w:lang w:val="de-DE" w:eastAsia="zh-CN" w:bidi="hi-IN"/>
        </w:rPr>
        <w:t xml:space="preserve">Whitney Houston hatte die Stimme eines Engels. Sie war eine Cousine von Dionne Warwick und besuchte schon als Kind deren Kirchenchor. Sie war schön, mit einem Lächeln, das einen Raum erleuchten konnte. Weshalb ihr Tod 2012, dieser Absturz einer übergroßen Diva, eine Saite in der ganzen Welt zum Klingen brachte. Wie so viele Legenden vor ihr starb sie an einer Überdosis, die schon lange absehbar gewesen war. Houston hatte schon jahrelang Drogen konsumiert, aber was sie dazu gebracht hatte, über was diesen Absturz verursacht hatte, blieb für die meisten ein Rätsel – bis heute: WHITNEY – CAN I BE ME enthüllt einige sehr dunkle Wahrheiten über den hohen Preis, der für Ruhm zu zahlen ist, und die Gefahr, die darin besteht, dem weißen, heterosexuellen Amerika gefallen zu wollen." </w:t>
        <w:tab/>
        <w:tab/>
        <w:tab/>
        <w:tab/>
        <w:tab/>
        <w:tab/>
      </w:r>
      <w:r>
        <w:rPr>
          <w:rFonts w:eastAsia="SimSun" w:cs="Mangal" w:ascii="Liberation Sans" w:hAnsi="Liberation Sans"/>
          <w:color w:val="000000"/>
          <w:sz w:val="24"/>
          <w:szCs w:val="24"/>
          <w:lang w:val="de-DE" w:eastAsia="zh-CN" w:bidi="hi-IN"/>
        </w:rPr>
        <w:t>Indiewire</w:t>
      </w:r>
    </w:p>
    <w:p>
      <w:pPr>
        <w:pStyle w:val="Normal"/>
        <w:jc w:val="both"/>
        <w:rPr/>
      </w:pPr>
      <w:r>
        <w:rPr/>
      </w:r>
    </w:p>
    <w:p>
      <w:pPr>
        <w:pStyle w:val="Normal"/>
        <w:spacing w:lineRule="auto" w:line="276"/>
        <w:jc w:val="both"/>
        <w:rPr/>
      </w:pPr>
      <w:r>
        <w:rPr>
          <w:rFonts w:eastAsia="SimSun" w:cs="Mangal" w:ascii="Liberation Sans" w:hAnsi="Liberation Sans"/>
          <w:color w:val="000000"/>
          <w:sz w:val="24"/>
          <w:szCs w:val="24"/>
          <w:lang w:val="de-DE" w:eastAsia="zh-CN" w:bidi="hi-IN"/>
        </w:rPr>
        <w:t>Whitney Houston war ein Volltreffer, erfolgreicher als es die Musikindustrie je gesehen hatte. Ein überirdisches Talent, mit passender Herkunft und frühem Chorgesang, wurde Whitney Houston eine der größten Sängerinnen aller Zeiten. Das blieb sie eine Zeit lang, und dann wurde sie dem – allzu öffentlich – nicht mehr gerecht.</w:t>
      </w:r>
    </w:p>
    <w:p>
      <w:pPr>
        <w:pStyle w:val="Normal"/>
        <w:jc w:val="both"/>
        <w:rPr/>
      </w:pPr>
      <w:r>
        <w:rPr/>
      </w:r>
    </w:p>
    <w:p>
      <w:pPr>
        <w:pStyle w:val="Normal"/>
        <w:spacing w:lineRule="auto" w:line="276"/>
        <w:jc w:val="both"/>
        <w:rPr/>
      </w:pPr>
      <w:r>
        <w:rPr>
          <w:rFonts w:eastAsia="SimSun" w:cs="Mangal" w:ascii="Liberation Sans" w:hAnsi="Liberation Sans"/>
          <w:color w:val="000000"/>
          <w:sz w:val="24"/>
          <w:szCs w:val="24"/>
          <w:lang w:val="de-DE" w:eastAsia="zh-CN" w:bidi="hi-IN"/>
        </w:rPr>
        <w:t>Dokumentarfilmer Nick Broomfield und der Kultmusikvideo-Regisseur Rudi Dolezal bieten einen nie zuvor gesehenen Backstage-Blick auf die Höhepunkte ihrer Berühmtheit und versuchen nachdrücklich, den Kräften auf die Spur zu kommen, die Whitneys Karriere verkürzten und 2012 zu ihrem Tod mit 48 Jahren führten. Seien es Rassismus, Religion, Drogen, Sexualität, Selbstzweifel, Tratsch, Rivalität, ungenügende Anleitung, die Forderungen ihrer Eltern und der Industrie, eine problematische Ehe, die von den Medien ausgeschlachtet wurde, oder die unvermeidlichen Tribute, die eine so leidenschaftliche und körperliche Sängerin zollen musste, die Regisseure lassen nichts unentdeckt. Sie liefern das Bild einer bemerkenswerten Frau, die mehr Hilfe brauchte als sie bekam, und  beleuchten sehr fesselnd und engagiert ein Ausnahmetalent, das Whitney gegeben und genommen wurde, in einer Ära, die davon besessen war zu erfahren, wie Stars leben, wenn das Bühnenlicht ausgeht.</w:t>
        <w:tab/>
        <w:tab/>
        <w:tab/>
        <w:tab/>
        <w:tab/>
        <w:tab/>
        <w:tab/>
        <w:tab/>
        <w:t>Tribeca</w:t>
      </w:r>
    </w:p>
    <w:p>
      <w:pPr>
        <w:pStyle w:val="Normal"/>
        <w:jc w:val="both"/>
        <w:rPr/>
      </w:pPr>
      <w:r>
        <w:rPr/>
      </w:r>
    </w:p>
    <w:p>
      <w:pPr>
        <w:pStyle w:val="Normal"/>
        <w:jc w:val="both"/>
        <w:rPr/>
      </w:pPr>
      <w:r>
        <w:rPr>
          <w:rFonts w:eastAsia="SimSun" w:cs="Mangal" w:ascii="Liberation Sans" w:hAnsi="Liberation Sans"/>
          <w:color w:val="000000"/>
          <w:sz w:val="24"/>
          <w:szCs w:val="24"/>
          <w:lang w:val="de-DE" w:eastAsia="zh-CN" w:bidi="hi-IN"/>
        </w:rPr>
        <w:t>ANMERKUNGEN DES REGISSEURS NICK BROOMFIELD</w:t>
      </w:r>
    </w:p>
    <w:p>
      <w:pPr>
        <w:pStyle w:val="Normal"/>
        <w:jc w:val="both"/>
        <w:rPr/>
      </w:pPr>
      <w:r>
        <w:rPr/>
      </w:r>
    </w:p>
    <w:p>
      <w:pPr>
        <w:pStyle w:val="Normal"/>
        <w:spacing w:lineRule="auto" w:line="276"/>
        <w:jc w:val="both"/>
        <w:rPr/>
      </w:pPr>
      <w:r>
        <w:rPr>
          <w:rFonts w:eastAsia="SimSun" w:cs="Mangal" w:ascii="Liberation Sans" w:hAnsi="Liberation Sans"/>
          <w:color w:val="000000"/>
          <w:sz w:val="24"/>
          <w:szCs w:val="24"/>
          <w:lang w:val="de-DE" w:eastAsia="zh-CN" w:bidi="hi-IN"/>
        </w:rPr>
        <w:t xml:space="preserve">"Ich glaube, die Leute spürten, dass sie ein unglaublich selbstIoser Mensch war, die nur ganz selten etwas tat, daß sie selbst wollte. Sie versuchte immer, alle glücklich zu machen. Sie eröffnete anderen Künstlern viele neue Perspektiven, aber dafür gab sie selbst unglaublich viel auf. Sie war eine wirkliche Ikone. Und deshalb konnten wir diesen Film machen." </w:t>
        <w:tab/>
        <w:tab/>
        <w:tab/>
        <w:tab/>
        <w:tab/>
        <w:tab/>
        <w:t>(Nick Broomfield in "Indiewire")</w:t>
      </w:r>
    </w:p>
    <w:p>
      <w:pPr>
        <w:pStyle w:val="Normal"/>
        <w:jc w:val="both"/>
        <w:rPr/>
      </w:pPr>
      <w:r>
        <w:rPr/>
      </w:r>
    </w:p>
    <w:p>
      <w:pPr>
        <w:pStyle w:val="Normal"/>
        <w:spacing w:lineRule="auto" w:line="276"/>
        <w:jc w:val="both"/>
        <w:rPr/>
      </w:pPr>
      <w:bookmarkStart w:id="0" w:name="__DdeLink__226_2127931607"/>
      <w:r>
        <w:rPr>
          <w:rFonts w:eastAsia="SimSun" w:cs="Mangal" w:ascii="Liberation Sans" w:hAnsi="Liberation Sans"/>
          <w:color w:val="000000"/>
          <w:sz w:val="24"/>
          <w:szCs w:val="24"/>
          <w:lang w:val="de-DE" w:eastAsia="zh-CN" w:bidi="hi-IN"/>
        </w:rPr>
        <w:t>"</w:t>
      </w:r>
      <w:bookmarkEnd w:id="0"/>
      <w:r>
        <w:rPr>
          <w:rFonts w:eastAsia="SimSun" w:cs="Mangal" w:ascii="Liberation Sans" w:hAnsi="Liberation Sans"/>
          <w:color w:val="000000"/>
          <w:sz w:val="24"/>
          <w:szCs w:val="24"/>
          <w:lang w:val="de-DE" w:eastAsia="zh-CN" w:bidi="hi-IN"/>
        </w:rPr>
        <w:t xml:space="preserve">Ihr kometenhafter Aufstieg und ihr tragischer Absturz werfen zahlreiche Fragen auf, welche Opfer sie bringen musste, um eine Crossover-Sängerin zu sein, die dann von ihren eigenen Leuten abgelehnt wurde. Bei der Soul Train Preisverleihung wurde sie ausgebuht. Das passierte, als Amerika sogar noch polarisierter war als heute." </w:t>
        <w:tab/>
        <w:tab/>
        <w:t>("Variety")</w:t>
      </w:r>
    </w:p>
    <w:p>
      <w:pPr>
        <w:pStyle w:val="Normal"/>
        <w:jc w:val="both"/>
        <w:rPr/>
      </w:pPr>
      <w:r>
        <w:rPr/>
      </w:r>
    </w:p>
    <w:p>
      <w:pPr>
        <w:pStyle w:val="Normal"/>
        <w:spacing w:lineRule="auto" w:line="276"/>
        <w:jc w:val="both"/>
        <w:rPr/>
      </w:pPr>
      <w:r>
        <w:rPr>
          <w:rFonts w:eastAsia="SimSun" w:cs="Mangal" w:ascii="Liberation Sans" w:hAnsi="Liberation Sans"/>
          <w:color w:val="000000"/>
          <w:sz w:val="24"/>
          <w:szCs w:val="24"/>
          <w:lang w:val="de-DE" w:eastAsia="zh-CN" w:bidi="hi-IN"/>
        </w:rPr>
        <w:t xml:space="preserve">"Wir versuchten, so viel wie möglich aus Whitney Houstons Perspektive zu erzählen, um ihre Stimme in den Film zu bekommen. Am Ende jeder Szene fragten wir uns: "Verstehen wir, wo Whitneys Herz dabei ist? Die Leute reden über sie, aber sie ist sehr lebendig im Film. Sie wird auf keinen Fall als Drogensüchtige abgetan – man muss wirklich einen Riesenrespekt vor ihr haben. </w:t>
        <w:tab/>
        <w:tab/>
        <w:tab/>
        <w:tab/>
        <w:t>("Hollywoodreporter")</w:t>
      </w:r>
    </w:p>
    <w:p>
      <w:pPr>
        <w:pStyle w:val="Berschrift5"/>
        <w:rPr/>
      </w:pPr>
      <w:r>
        <w:rPr>
          <w:rFonts w:eastAsia="SimSun" w:cs="Mangal"/>
          <w:color w:val="000000"/>
          <w:sz w:val="24"/>
          <w:szCs w:val="24"/>
          <w:lang w:val="de-DE" w:eastAsia="zh-CN" w:bidi="hi-IN"/>
        </w:rPr>
        <w:t xml:space="preserve">ÜBER DIE REGISSEURE </w:t>
      </w:r>
    </w:p>
    <w:p>
      <w:pPr>
        <w:pStyle w:val="Textkrper"/>
        <w:spacing w:lineRule="auto" w:line="276" w:before="0" w:after="0"/>
        <w:jc w:val="both"/>
        <w:rPr/>
      </w:pPr>
      <w:r>
        <w:rPr>
          <w:rFonts w:eastAsia="SimSun" w:cs="Mangal" w:ascii="Liberation Sans" w:hAnsi="Liberation Sans"/>
          <w:color w:val="000000"/>
          <w:sz w:val="24"/>
          <w:szCs w:val="24"/>
          <w:lang w:val="de-DE" w:eastAsia="zh-CN" w:bidi="hi-IN"/>
        </w:rPr>
        <w:t xml:space="preserve">Filmemacher Rudi Dolezal ist eine Legende in der internationalen Musikdokuszene, der seit 25 Jahren mit vielen legendären Musikern arbeitete. Er wurde zwei Mal für einen Grammy nominiert. Nick Broomfield ist ein preisgekrönter Regisseur, dessen Arbeiten </w:t>
      </w:r>
      <w:r>
        <w:rPr>
          <w:rFonts w:eastAsia="SimSun" w:cs="Mangal" w:ascii="Liberation Sans" w:hAnsi="Liberation Sans"/>
          <w:i/>
          <w:iCs/>
          <w:color w:val="000000"/>
          <w:sz w:val="24"/>
          <w:szCs w:val="24"/>
          <w:lang w:val="de-DE" w:eastAsia="zh-CN" w:bidi="hi-IN"/>
        </w:rPr>
        <w:t>Kurt &amp; Courtney</w:t>
      </w:r>
      <w:r>
        <w:rPr>
          <w:rFonts w:eastAsia="SimSun" w:cs="Mangal" w:ascii="Liberation Sans" w:hAnsi="Liberation Sans"/>
          <w:color w:val="000000"/>
          <w:sz w:val="24"/>
          <w:szCs w:val="24"/>
          <w:lang w:val="de-DE" w:eastAsia="zh-CN" w:bidi="hi-IN"/>
        </w:rPr>
        <w:t xml:space="preserve">, </w:t>
      </w:r>
      <w:r>
        <w:rPr>
          <w:rStyle w:val="Betont"/>
          <w:rFonts w:eastAsia="SimSun" w:cs="Mangal" w:ascii="Liberation Sans" w:hAnsi="Liberation Sans"/>
          <w:color w:val="000000"/>
          <w:sz w:val="24"/>
          <w:szCs w:val="24"/>
          <w:lang w:val="de-DE" w:eastAsia="zh-CN" w:bidi="hi-IN"/>
        </w:rPr>
        <w:t>Tales of the Grim Sleeper</w:t>
      </w:r>
      <w:r>
        <w:rPr>
          <w:rFonts w:eastAsia="SimSun" w:cs="Mangal" w:ascii="Liberation Sans" w:hAnsi="Liberation Sans"/>
          <w:color w:val="000000"/>
          <w:sz w:val="24"/>
          <w:szCs w:val="24"/>
          <w:lang w:val="de-DE" w:eastAsia="zh-CN" w:bidi="hi-IN"/>
        </w:rPr>
        <w:t xml:space="preserve">, </w:t>
      </w:r>
      <w:r>
        <w:rPr>
          <w:rStyle w:val="Betont"/>
          <w:rFonts w:eastAsia="SimSun" w:cs="Mangal" w:ascii="Liberation Sans" w:hAnsi="Liberation Sans"/>
          <w:color w:val="000000"/>
          <w:sz w:val="24"/>
          <w:szCs w:val="24"/>
          <w:lang w:val="de-DE" w:eastAsia="zh-CN" w:bidi="hi-IN"/>
        </w:rPr>
        <w:t xml:space="preserve">Aileen Wuornos: The Selling of a Serial Killer </w:t>
      </w:r>
      <w:r>
        <w:rPr>
          <w:rStyle w:val="Betont"/>
          <w:rFonts w:eastAsia="SimSun" w:cs="Mangal" w:ascii="Liberation Sans" w:hAnsi="Liberation Sans"/>
          <w:i w:val="false"/>
          <w:iCs w:val="false"/>
          <w:color w:val="000000"/>
          <w:sz w:val="24"/>
          <w:szCs w:val="24"/>
          <w:lang w:val="de-DE" w:eastAsia="zh-CN" w:bidi="hi-IN"/>
        </w:rPr>
        <w:t>und</w:t>
      </w:r>
      <w:r>
        <w:rPr>
          <w:rFonts w:eastAsia="SimSun" w:cs="Mangal" w:ascii="Liberation Sans" w:hAnsi="Liberation Sans"/>
          <w:color w:val="000000"/>
          <w:sz w:val="24"/>
          <w:szCs w:val="24"/>
          <w:lang w:val="de-DE" w:eastAsia="zh-CN" w:bidi="hi-IN"/>
        </w:rPr>
        <w:t xml:space="preserve"> </w:t>
      </w:r>
      <w:r>
        <w:rPr>
          <w:rStyle w:val="Betont"/>
          <w:rFonts w:eastAsia="SimSun" w:cs="Mangal" w:ascii="Liberation Sans" w:hAnsi="Liberation Sans"/>
          <w:color w:val="000000"/>
          <w:sz w:val="24"/>
          <w:szCs w:val="24"/>
          <w:lang w:val="de-DE" w:eastAsia="zh-CN" w:bidi="hi-IN"/>
        </w:rPr>
        <w:t xml:space="preserve">The Leader, His Driver and the Driver's Wife </w:t>
      </w:r>
      <w:r>
        <w:rPr>
          <w:rStyle w:val="Betont"/>
          <w:rFonts w:eastAsia="SimSun" w:cs="Mangal" w:ascii="Liberation Sans" w:hAnsi="Liberation Sans"/>
          <w:i w:val="false"/>
          <w:iCs w:val="false"/>
          <w:color w:val="000000"/>
          <w:sz w:val="24"/>
          <w:szCs w:val="24"/>
          <w:lang w:val="de-DE" w:eastAsia="zh-CN" w:bidi="hi-IN"/>
        </w:rPr>
        <w:t>umfassen</w:t>
      </w:r>
      <w:r>
        <w:rPr>
          <w:rStyle w:val="Betont"/>
          <w:rFonts w:eastAsia="SimSun" w:cs="Mangal" w:ascii="Liberation Sans" w:hAnsi="Liberation Sans"/>
          <w:color w:val="000000"/>
          <w:sz w:val="24"/>
          <w:szCs w:val="24"/>
          <w:lang w:val="de-DE" w:eastAsia="zh-CN" w:bidi="hi-IN"/>
        </w:rPr>
        <w:t>.</w:t>
      </w:r>
    </w:p>
    <w:sectPr>
      <w:type w:val="nextPage"/>
      <w:pgSz w:w="11906" w:h="16838"/>
      <w:pgMar w:left="1134" w:right="1134" w:header="0" w:top="1134" w:footer="0" w:bottom="1134" w:gutter="0"/>
      <w:pgNumType w:fmt="decimal"/>
      <w:formProt w:val="false"/>
      <w:textDirection w:val="lrTb"/>
      <w:docGrid w:type="default" w:linePitch="311"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ourier New">
    <w:charset w:val="00"/>
    <w:family w:val="roman"/>
    <w:pitch w:val="variable"/>
  </w:font>
  <w:font w:name="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de-DE" w:eastAsia="zh-CN" w:bidi="hi-IN"/>
      </w:rPr>
    </w:rPrDefault>
    <w:pPrDefault>
      <w:pPr/>
    </w:pPrDefault>
  </w:docDefaults>
  <w:style w:type="paragraph" w:styleId="Normal">
    <w:name w:val="Normal"/>
    <w:qFormat/>
    <w:pPr>
      <w:widowControl w:val="false"/>
      <w:suppressAutoHyphens w:val="true"/>
      <w:bidi w:val="0"/>
      <w:jc w:val="left"/>
    </w:pPr>
    <w:rPr>
      <w:rFonts w:ascii="Liberation Serif" w:hAnsi="Liberation Serif" w:eastAsia="SimSun" w:cs="Mangal"/>
      <w:color w:val="00000A"/>
      <w:sz w:val="24"/>
      <w:szCs w:val="24"/>
      <w:lang w:val="de-DE" w:eastAsia="zh-CN" w:bidi="hi-IN"/>
    </w:rPr>
  </w:style>
  <w:style w:type="paragraph" w:styleId="Berschrift1">
    <w:name w:val="Überschrift 1"/>
    <w:basedOn w:val="Berschrift"/>
    <w:pPr>
      <w:spacing w:before="240" w:after="120"/>
    </w:pPr>
    <w:rPr>
      <w:b/>
      <w:bCs/>
      <w:sz w:val="36"/>
      <w:szCs w:val="36"/>
    </w:rPr>
  </w:style>
  <w:style w:type="paragraph" w:styleId="Berschrift2">
    <w:name w:val="Überschrift 2"/>
    <w:basedOn w:val="Berschrift"/>
    <w:pPr>
      <w:spacing w:before="200" w:after="120"/>
    </w:pPr>
    <w:rPr>
      <w:b/>
      <w:bCs/>
      <w:sz w:val="32"/>
      <w:szCs w:val="32"/>
    </w:rPr>
  </w:style>
  <w:style w:type="paragraph" w:styleId="Berschrift3">
    <w:name w:val="Überschrift 3"/>
    <w:basedOn w:val="Berschrift"/>
    <w:pPr>
      <w:spacing w:before="140" w:after="120"/>
    </w:pPr>
    <w:rPr>
      <w:b/>
      <w:bCs/>
      <w:sz w:val="28"/>
      <w:szCs w:val="28"/>
    </w:rPr>
  </w:style>
  <w:style w:type="paragraph" w:styleId="Berschrift4">
    <w:name w:val="Überschrift 4"/>
    <w:basedOn w:val="Normal"/>
    <w:pPr>
      <w:keepNext/>
    </w:pPr>
    <w:rPr>
      <w:b/>
      <w:sz w:val="28"/>
    </w:rPr>
  </w:style>
  <w:style w:type="paragraph" w:styleId="Berschrift5">
    <w:name w:val="Überschrift 5"/>
    <w:basedOn w:val="Berschrift"/>
    <w:pPr/>
    <w:rPr/>
  </w:style>
  <w:style w:type="character" w:styleId="Internetlink">
    <w:name w:val="Internetlink"/>
    <w:rPr>
      <w:color w:val="000080"/>
      <w:u w:val="single"/>
      <w:lang w:val="zxx" w:eastAsia="zxx" w:bidi="zxx"/>
    </w:rPr>
  </w:style>
  <w:style w:type="character" w:styleId="Betont">
    <w:name w:val="Betont"/>
    <w:rPr>
      <w:i/>
      <w:iCs/>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spacing w:before="240" w:after="120"/>
    </w:pPr>
    <w:rPr>
      <w:rFonts w:ascii="Liberation Sans" w:hAnsi="Liberation Sans" w:eastAsia="Microsoft YaHei" w:cs="Mangal"/>
      <w:sz w:val="28"/>
      <w:szCs w:val="28"/>
    </w:rPr>
  </w:style>
  <w:style w:type="paragraph" w:styleId="Textkrper">
    <w:name w:val="Textkörper"/>
    <w:basedOn w:val="Normal"/>
    <w:pPr>
      <w:spacing w:lineRule="auto" w:line="288" w:before="0" w:after="140"/>
    </w:pPr>
    <w:rPr/>
  </w:style>
  <w:style w:type="paragraph" w:styleId="Liste">
    <w:name w:val="Liste"/>
    <w:basedOn w:val="Textkrper"/>
    <w:pPr/>
    <w:rPr>
      <w:rFonts w:cs="Mangal"/>
    </w:rPr>
  </w:style>
  <w:style w:type="paragraph" w:styleId="Beschriftung">
    <w:name w:val="Beschriftung"/>
    <w:basedOn w:val="Normal"/>
    <w:pPr>
      <w:suppressLineNumbers/>
      <w:spacing w:before="120" w:after="120"/>
    </w:pPr>
    <w:rPr>
      <w:rFonts w:cs="Mangal"/>
      <w:i/>
      <w:iCs/>
      <w:sz w:val="24"/>
      <w:szCs w:val="24"/>
    </w:rPr>
  </w:style>
  <w:style w:type="paragraph" w:styleId="Verzeichnis">
    <w:name w:val="Verzeichnis"/>
    <w:basedOn w:val="Normal"/>
    <w:qFormat/>
    <w:pPr>
      <w:suppressLineNumbers/>
    </w:pPr>
    <w:rPr>
      <w:rFonts w:cs="Mangal"/>
    </w:rPr>
  </w:style>
  <w:style w:type="paragraph" w:styleId="Zitat">
    <w:name w:val="Zitat"/>
    <w:basedOn w:val="Normal"/>
    <w:qFormat/>
    <w:pPr>
      <w:spacing w:before="0" w:after="283"/>
      <w:ind w:left="567" w:right="567" w:hanging="0"/>
    </w:pPr>
    <w:rPr/>
  </w:style>
  <w:style w:type="paragraph" w:styleId="Titel">
    <w:name w:val="Titel"/>
    <w:basedOn w:val="Berschrift"/>
    <w:pPr>
      <w:jc w:val="center"/>
    </w:pPr>
    <w:rPr>
      <w:b/>
      <w:bCs/>
      <w:sz w:val="56"/>
      <w:szCs w:val="56"/>
    </w:rPr>
  </w:style>
  <w:style w:type="paragraph" w:styleId="Untertitel">
    <w:name w:val="Untertitel"/>
    <w:basedOn w:val="Berschrift"/>
    <w:pPr>
      <w:spacing w:before="60" w:after="120"/>
      <w:jc w:val="center"/>
    </w:pPr>
    <w:rPr>
      <w:sz w:val="36"/>
      <w:szCs w:val="36"/>
    </w:rPr>
  </w:style>
  <w:style w:type="paragraph" w:styleId="VorformatierterText">
    <w:name w:val="Vorformatierter Text"/>
    <w:basedOn w:val="Normal"/>
    <w:qFormat/>
    <w:pPr>
      <w:spacing w:before="0" w:after="0"/>
    </w:pPr>
    <w:rPr>
      <w:rFonts w:ascii="Courier New" w:hAnsi="Courier New" w:eastAsia="NSimSun" w:cs="Courier New"/>
      <w:sz w:val="20"/>
      <w:szCs w:val="20"/>
    </w:rPr>
  </w:style>
  <w:style w:type="paragraph" w:styleId="HorizontaleLinie">
    <w:name w:val="Horizontale Linie"/>
    <w:basedOn w:val="Normal"/>
    <w:qFormat/>
    <w:pPr/>
    <w:rPr/>
  </w:style>
  <w:style w:type="paragraph" w:styleId="Quotations">
    <w:name w:val="Quotation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75</TotalTime>
  <Application>LibreOffice/4.4.5.2$Windows_x86 LibreOffice_project/a22f674fd25a3b6f45bdebf25400ed2adff0ff99</Application>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2017-05-01T14:31:05Z</dcterms:created>
  <dc:language>de</dc:language>
  <dcterms:modified xsi:type="dcterms:W3CDTF">2017-05-31T16:50:33Z</dcterms:modified>
  <cp:revision>13</cp:revision>
</cp:coreProperties>
</file>